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DEF" w:rsidRPr="00957DEF" w:rsidRDefault="00957DEF" w:rsidP="005D0B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957DEF">
        <w:rPr>
          <w:rFonts w:ascii="Arial" w:hAnsi="Arial" w:cs="Arial"/>
          <w:color w:val="231F20"/>
          <w:sz w:val="24"/>
          <w:szCs w:val="24"/>
        </w:rPr>
        <w:t>In section 47 of the Income-tax Act, with effect from the 1st day of April, 2015,––</w:t>
      </w:r>
    </w:p>
    <w:p w:rsidR="00957DEF" w:rsidRPr="00957DEF" w:rsidRDefault="00957DEF" w:rsidP="005D0B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957DEF">
        <w:rPr>
          <w:rFonts w:ascii="Arial" w:hAnsi="Arial" w:cs="Arial"/>
          <w:color w:val="231F20"/>
          <w:sz w:val="24"/>
          <w:szCs w:val="24"/>
        </w:rPr>
        <w:t>(</w:t>
      </w:r>
      <w:r w:rsidRPr="00957DEF">
        <w:rPr>
          <w:rFonts w:ascii="Arial" w:hAnsi="Arial" w:cs="Arial"/>
          <w:i/>
          <w:iCs/>
          <w:color w:val="231F20"/>
          <w:sz w:val="24"/>
          <w:szCs w:val="24"/>
        </w:rPr>
        <w:t>a</w:t>
      </w:r>
      <w:r w:rsidRPr="00957DEF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957DEF">
        <w:rPr>
          <w:rFonts w:ascii="Arial" w:hAnsi="Arial" w:cs="Arial"/>
          <w:color w:val="231F20"/>
          <w:sz w:val="24"/>
          <w:szCs w:val="24"/>
        </w:rPr>
        <w:t>after</w:t>
      </w:r>
      <w:proofErr w:type="gramEnd"/>
      <w:r w:rsidRPr="00957DEF">
        <w:rPr>
          <w:rFonts w:ascii="Arial" w:hAnsi="Arial" w:cs="Arial"/>
          <w:color w:val="231F20"/>
          <w:sz w:val="24"/>
          <w:szCs w:val="24"/>
        </w:rPr>
        <w:t xml:space="preserve"> clause (</w:t>
      </w:r>
      <w:proofErr w:type="spellStart"/>
      <w:r w:rsidRPr="00957DEF">
        <w:rPr>
          <w:rFonts w:ascii="Arial" w:hAnsi="Arial" w:cs="Arial"/>
          <w:i/>
          <w:iCs/>
          <w:color w:val="231F20"/>
          <w:sz w:val="24"/>
          <w:szCs w:val="24"/>
        </w:rPr>
        <w:t>viia</w:t>
      </w:r>
      <w:proofErr w:type="spellEnd"/>
      <w:r w:rsidRPr="00957DEF">
        <w:rPr>
          <w:rFonts w:ascii="Arial" w:hAnsi="Arial" w:cs="Arial"/>
          <w:color w:val="231F20"/>
          <w:sz w:val="24"/>
          <w:szCs w:val="24"/>
        </w:rPr>
        <w:t>), the following shall be inserted, namely:––</w:t>
      </w:r>
    </w:p>
    <w:p w:rsidR="00957DEF" w:rsidRDefault="00957DEF" w:rsidP="005D0B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957DEF" w:rsidRPr="00957DEF" w:rsidRDefault="00957DEF" w:rsidP="005D0B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957DEF">
        <w:rPr>
          <w:rFonts w:ascii="Arial" w:hAnsi="Arial" w:cs="Arial"/>
          <w:color w:val="231F20"/>
          <w:sz w:val="24"/>
          <w:szCs w:val="24"/>
        </w:rPr>
        <w:t>‘(</w:t>
      </w:r>
      <w:proofErr w:type="spellStart"/>
      <w:r w:rsidRPr="00957DEF">
        <w:rPr>
          <w:rFonts w:ascii="Arial" w:hAnsi="Arial" w:cs="Arial"/>
          <w:i/>
          <w:iCs/>
          <w:color w:val="231F20"/>
          <w:sz w:val="24"/>
          <w:szCs w:val="24"/>
        </w:rPr>
        <w:t>viib</w:t>
      </w:r>
      <w:proofErr w:type="spellEnd"/>
      <w:r w:rsidRPr="00957DEF">
        <w:rPr>
          <w:rFonts w:ascii="Arial" w:hAnsi="Arial" w:cs="Arial"/>
          <w:color w:val="231F20"/>
          <w:sz w:val="24"/>
          <w:szCs w:val="24"/>
        </w:rPr>
        <w:t>) any transfer of a capital asset, being a Government Security carrying a periodic payment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957DEF">
        <w:rPr>
          <w:rFonts w:ascii="Arial" w:hAnsi="Arial" w:cs="Arial"/>
          <w:color w:val="231F20"/>
          <w:sz w:val="24"/>
          <w:szCs w:val="24"/>
        </w:rPr>
        <w:t>of interest, made outside India through an intermediary dealing in settlement of securities, by a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957DEF">
        <w:rPr>
          <w:rFonts w:ascii="Arial" w:hAnsi="Arial" w:cs="Arial"/>
          <w:color w:val="231F20"/>
          <w:sz w:val="24"/>
          <w:szCs w:val="24"/>
        </w:rPr>
        <w:t>non-resident to another non-resident.</w:t>
      </w:r>
    </w:p>
    <w:p w:rsidR="00957DEF" w:rsidRDefault="00957DEF" w:rsidP="005D0B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957DEF">
        <w:rPr>
          <w:rFonts w:ascii="Arial" w:hAnsi="Arial" w:cs="Arial"/>
          <w:i/>
          <w:iCs/>
          <w:color w:val="231F20"/>
          <w:sz w:val="24"/>
          <w:szCs w:val="24"/>
        </w:rPr>
        <w:t>Explanation</w:t>
      </w:r>
      <w:r w:rsidRPr="00957DEF">
        <w:rPr>
          <w:rFonts w:ascii="Arial" w:hAnsi="Arial" w:cs="Arial"/>
          <w:color w:val="231F20"/>
          <w:sz w:val="24"/>
          <w:szCs w:val="24"/>
        </w:rPr>
        <w:t>.––For the purposes of this clause, “Government Security” shall have the meaning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957DEF">
        <w:rPr>
          <w:rFonts w:ascii="Arial" w:hAnsi="Arial" w:cs="Arial"/>
          <w:color w:val="231F20"/>
          <w:sz w:val="24"/>
          <w:szCs w:val="24"/>
        </w:rPr>
        <w:t>assigned to it in clause (</w:t>
      </w:r>
      <w:r w:rsidRPr="00957DEF">
        <w:rPr>
          <w:rFonts w:ascii="Arial" w:hAnsi="Arial" w:cs="Arial"/>
          <w:i/>
          <w:iCs/>
          <w:color w:val="231F20"/>
          <w:sz w:val="24"/>
          <w:szCs w:val="24"/>
        </w:rPr>
        <w:t>b</w:t>
      </w:r>
      <w:r w:rsidRPr="00957DEF">
        <w:rPr>
          <w:rFonts w:ascii="Arial" w:hAnsi="Arial" w:cs="Arial"/>
          <w:color w:val="231F20"/>
          <w:sz w:val="24"/>
          <w:szCs w:val="24"/>
        </w:rPr>
        <w:t>) of section 2 of the Securities Contracts (Regulation) Act, 1956;’;</w:t>
      </w:r>
    </w:p>
    <w:p w:rsidR="00957DEF" w:rsidRPr="00957DEF" w:rsidRDefault="00957DEF" w:rsidP="005D0B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957DEF" w:rsidRPr="00957DEF" w:rsidRDefault="00957DEF" w:rsidP="005D0B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957DEF">
        <w:rPr>
          <w:rFonts w:ascii="Arial" w:hAnsi="Arial" w:cs="Arial"/>
          <w:color w:val="231F20"/>
          <w:sz w:val="24"/>
          <w:szCs w:val="24"/>
        </w:rPr>
        <w:t>(</w:t>
      </w:r>
      <w:r w:rsidRPr="00957DEF">
        <w:rPr>
          <w:rFonts w:ascii="Arial" w:hAnsi="Arial" w:cs="Arial"/>
          <w:i/>
          <w:iCs/>
          <w:color w:val="231F20"/>
          <w:sz w:val="24"/>
          <w:szCs w:val="24"/>
        </w:rPr>
        <w:t>b</w:t>
      </w:r>
      <w:r w:rsidRPr="00957DEF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957DEF">
        <w:rPr>
          <w:rFonts w:ascii="Arial" w:hAnsi="Arial" w:cs="Arial"/>
          <w:color w:val="231F20"/>
          <w:sz w:val="24"/>
          <w:szCs w:val="24"/>
        </w:rPr>
        <w:t>after</w:t>
      </w:r>
      <w:proofErr w:type="gramEnd"/>
      <w:r w:rsidRPr="00957DEF">
        <w:rPr>
          <w:rFonts w:ascii="Arial" w:hAnsi="Arial" w:cs="Arial"/>
          <w:color w:val="231F20"/>
          <w:sz w:val="24"/>
          <w:szCs w:val="24"/>
        </w:rPr>
        <w:t xml:space="preserve"> clause (</w:t>
      </w:r>
      <w:r w:rsidRPr="00957DEF">
        <w:rPr>
          <w:rFonts w:ascii="Arial" w:hAnsi="Arial" w:cs="Arial"/>
          <w:i/>
          <w:iCs/>
          <w:color w:val="231F20"/>
          <w:sz w:val="24"/>
          <w:szCs w:val="24"/>
        </w:rPr>
        <w:t>xvi</w:t>
      </w:r>
      <w:r w:rsidRPr="00957DEF">
        <w:rPr>
          <w:rFonts w:ascii="Arial" w:hAnsi="Arial" w:cs="Arial"/>
          <w:color w:val="231F20"/>
          <w:sz w:val="24"/>
          <w:szCs w:val="24"/>
        </w:rPr>
        <w:t>), the following shall be inserted, namely:––</w:t>
      </w:r>
    </w:p>
    <w:p w:rsidR="00957DEF" w:rsidRPr="00957DEF" w:rsidRDefault="00957DEF" w:rsidP="005D0B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957DEF">
        <w:rPr>
          <w:rFonts w:ascii="Arial" w:hAnsi="Arial" w:cs="Arial"/>
          <w:color w:val="231F20"/>
          <w:sz w:val="24"/>
          <w:szCs w:val="24"/>
        </w:rPr>
        <w:t>‘(</w:t>
      </w:r>
      <w:r w:rsidRPr="00957DEF">
        <w:rPr>
          <w:rFonts w:ascii="Arial" w:hAnsi="Arial" w:cs="Arial"/>
          <w:i/>
          <w:iCs/>
          <w:color w:val="231F20"/>
          <w:sz w:val="24"/>
          <w:szCs w:val="24"/>
        </w:rPr>
        <w:t>xvii</w:t>
      </w:r>
      <w:r w:rsidRPr="00957DEF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957DEF">
        <w:rPr>
          <w:rFonts w:ascii="Arial" w:hAnsi="Arial" w:cs="Arial"/>
          <w:color w:val="231F20"/>
          <w:sz w:val="24"/>
          <w:szCs w:val="24"/>
        </w:rPr>
        <w:t>any</w:t>
      </w:r>
      <w:proofErr w:type="gramEnd"/>
      <w:r w:rsidRPr="00957DEF">
        <w:rPr>
          <w:rFonts w:ascii="Arial" w:hAnsi="Arial" w:cs="Arial"/>
          <w:color w:val="231F20"/>
          <w:sz w:val="24"/>
          <w:szCs w:val="24"/>
        </w:rPr>
        <w:t xml:space="preserve"> transfer of a capital asset, being share of a special purpose vehicle to a business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957DEF">
        <w:rPr>
          <w:rFonts w:ascii="Arial" w:hAnsi="Arial" w:cs="Arial"/>
          <w:color w:val="231F20"/>
          <w:sz w:val="24"/>
          <w:szCs w:val="24"/>
        </w:rPr>
        <w:t>trust in exchange of units allotted by that trust to the transferor.</w:t>
      </w:r>
    </w:p>
    <w:p w:rsidR="005015BD" w:rsidRDefault="00957DEF" w:rsidP="005D0B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957DEF">
        <w:rPr>
          <w:rFonts w:ascii="Arial" w:hAnsi="Arial" w:cs="Arial"/>
          <w:i/>
          <w:iCs/>
          <w:color w:val="231F20"/>
          <w:sz w:val="24"/>
          <w:szCs w:val="24"/>
        </w:rPr>
        <w:t>Explanation</w:t>
      </w:r>
      <w:r w:rsidRPr="00957DEF">
        <w:rPr>
          <w:rFonts w:ascii="Arial" w:hAnsi="Arial" w:cs="Arial"/>
          <w:color w:val="231F20"/>
          <w:sz w:val="24"/>
          <w:szCs w:val="24"/>
        </w:rPr>
        <w:t>.––For the purposes of this clause, the expression “special purpose vehicle” shall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957DEF">
        <w:rPr>
          <w:rFonts w:ascii="Arial" w:hAnsi="Arial" w:cs="Arial"/>
          <w:color w:val="231F20"/>
          <w:sz w:val="24"/>
          <w:szCs w:val="24"/>
        </w:rPr>
        <w:t xml:space="preserve">have the meaning assigned to it in the </w:t>
      </w:r>
      <w:r w:rsidRPr="00957DEF">
        <w:rPr>
          <w:rFonts w:ascii="Arial" w:hAnsi="Arial" w:cs="Arial"/>
          <w:i/>
          <w:iCs/>
          <w:color w:val="231F20"/>
          <w:sz w:val="24"/>
          <w:szCs w:val="24"/>
        </w:rPr>
        <w:t xml:space="preserve">Explanation </w:t>
      </w:r>
      <w:r w:rsidRPr="00957DEF">
        <w:rPr>
          <w:rFonts w:ascii="Arial" w:hAnsi="Arial" w:cs="Arial"/>
          <w:color w:val="231F20"/>
          <w:sz w:val="24"/>
          <w:szCs w:val="24"/>
        </w:rPr>
        <w:t>to clause (</w:t>
      </w:r>
      <w:r w:rsidRPr="00957DEF">
        <w:rPr>
          <w:rFonts w:ascii="Arial" w:hAnsi="Arial" w:cs="Arial"/>
          <w:i/>
          <w:iCs/>
          <w:color w:val="231F20"/>
          <w:sz w:val="24"/>
          <w:szCs w:val="24"/>
        </w:rPr>
        <w:t>23FC</w:t>
      </w:r>
      <w:r w:rsidRPr="00957DEF">
        <w:rPr>
          <w:rFonts w:ascii="Arial" w:hAnsi="Arial" w:cs="Arial"/>
          <w:color w:val="231F20"/>
          <w:sz w:val="24"/>
          <w:szCs w:val="24"/>
        </w:rPr>
        <w:t>) of section 10.’</w:t>
      </w:r>
    </w:p>
    <w:p w:rsidR="001C517E" w:rsidRDefault="001C517E" w:rsidP="005D0B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1C517E" w:rsidRDefault="001C517E" w:rsidP="005D0B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1C517E" w:rsidRDefault="001C517E" w:rsidP="001C517E">
      <w:pPr>
        <w:pStyle w:val="NormalWeb"/>
        <w:pBdr>
          <w:top w:val="single" w:sz="4" w:space="1" w:color="auto"/>
          <w:bottom w:val="single" w:sz="4" w:space="1" w:color="auto"/>
        </w:pBdr>
        <w:jc w:val="center"/>
      </w:pPr>
      <w:r>
        <w:rPr>
          <w:rStyle w:val="Strong"/>
        </w:rPr>
        <w:t>Transfer of Government Security by one non-resident to another non-resident</w:t>
      </w:r>
    </w:p>
    <w:p w:rsidR="001C517E" w:rsidRPr="001C517E" w:rsidRDefault="001C517E" w:rsidP="001C517E">
      <w:pPr>
        <w:pStyle w:val="NormalWeb"/>
        <w:jc w:val="both"/>
        <w:rPr>
          <w:rFonts w:ascii="Arial" w:hAnsi="Arial" w:cs="Arial"/>
        </w:rPr>
      </w:pPr>
      <w:r w:rsidRPr="001C517E">
        <w:rPr>
          <w:rFonts w:ascii="Arial" w:hAnsi="Arial" w:cs="Arial"/>
        </w:rPr>
        <w:t>The existing provision contained in section 47 of the Act provides that certain transactions shall not be considered as transfer for the purpose of charging of capital gains.</w:t>
      </w:r>
    </w:p>
    <w:p w:rsidR="001C517E" w:rsidRPr="001C517E" w:rsidRDefault="001C517E" w:rsidP="001C517E">
      <w:pPr>
        <w:pStyle w:val="NormalWeb"/>
        <w:jc w:val="both"/>
        <w:rPr>
          <w:rFonts w:ascii="Arial" w:hAnsi="Arial" w:cs="Arial"/>
        </w:rPr>
      </w:pPr>
      <w:r w:rsidRPr="001C517E">
        <w:rPr>
          <w:rFonts w:ascii="Arial" w:hAnsi="Arial" w:cs="Arial"/>
        </w:rPr>
        <w:t>     With a view to facilitate listing and trading of Government securities outside India, it is proposed to insert clause (</w:t>
      </w:r>
      <w:proofErr w:type="spellStart"/>
      <w:r w:rsidRPr="001C517E">
        <w:rPr>
          <w:rFonts w:ascii="Arial" w:hAnsi="Arial" w:cs="Arial"/>
        </w:rPr>
        <w:t>viib</w:t>
      </w:r>
      <w:proofErr w:type="spellEnd"/>
      <w:r w:rsidRPr="001C517E">
        <w:rPr>
          <w:rFonts w:ascii="Arial" w:hAnsi="Arial" w:cs="Arial"/>
        </w:rPr>
        <w:t>) in the said section so as to provide that any transfer of a capital asset, being a Government Security carrying a periodic payment of interest, made outside India through an intermediary dealing in settlement of securities, by a non-resident to another non-resident shall not be considered as transfer for the purpose of charging capital gains.</w:t>
      </w:r>
    </w:p>
    <w:p w:rsidR="001C517E" w:rsidRDefault="001C517E" w:rsidP="001C517E">
      <w:pPr>
        <w:pStyle w:val="NormalWeb"/>
        <w:jc w:val="both"/>
        <w:rPr>
          <w:rFonts w:ascii="Arial" w:hAnsi="Arial" w:cs="Arial"/>
        </w:rPr>
      </w:pPr>
      <w:r w:rsidRPr="001C517E">
        <w:rPr>
          <w:rFonts w:ascii="Arial" w:hAnsi="Arial" w:cs="Arial"/>
        </w:rPr>
        <w:t>     This amendment will take effect from 1st April, 2015 and will, accordingly, apply in relation to assessment year 2015-16 and subsequent assessment years.</w:t>
      </w:r>
    </w:p>
    <w:p w:rsidR="001C517E" w:rsidRPr="001C517E" w:rsidRDefault="001C517E" w:rsidP="001C517E">
      <w:pPr>
        <w:pStyle w:val="NormalWeb"/>
        <w:pBdr>
          <w:top w:val="single" w:sz="4" w:space="1" w:color="auto"/>
          <w:bottom w:val="single" w:sz="4" w:space="1" w:color="auto"/>
        </w:pBdr>
        <w:jc w:val="both"/>
        <w:rPr>
          <w:rFonts w:ascii="Arial" w:hAnsi="Arial" w:cs="Arial"/>
        </w:rPr>
      </w:pPr>
    </w:p>
    <w:sectPr w:rsidR="001C517E" w:rsidRPr="001C517E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957DEF"/>
    <w:rsid w:val="001C517E"/>
    <w:rsid w:val="005015BD"/>
    <w:rsid w:val="005D0BF4"/>
    <w:rsid w:val="00957DEF"/>
    <w:rsid w:val="00B16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C5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C51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2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5</cp:revision>
  <dcterms:created xsi:type="dcterms:W3CDTF">2014-07-16T07:39:00Z</dcterms:created>
  <dcterms:modified xsi:type="dcterms:W3CDTF">2014-07-16T10:59:00Z</dcterms:modified>
</cp:coreProperties>
</file>